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4839B" w14:textId="742BC958" w:rsidR="004062B3" w:rsidRDefault="004062B3" w:rsidP="004062B3">
      <w:pPr>
        <w:pStyle w:val="NormalWeb"/>
        <w:shd w:val="clear" w:color="auto" w:fill="FCFCFC"/>
        <w:spacing w:before="0" w:beforeAutospacing="0" w:after="0" w:afterAutospacing="0"/>
        <w:jc w:val="both"/>
        <w:rPr>
          <w:rFonts w:ascii="Arial" w:hAnsi="Arial" w:cs="Arial"/>
          <w:color w:val="23282D"/>
          <w:sz w:val="20"/>
          <w:szCs w:val="20"/>
        </w:rPr>
      </w:pPr>
      <w:r>
        <w:rPr>
          <w:rFonts w:ascii="Arial" w:hAnsi="Arial" w:cs="Arial"/>
          <w:color w:val="23282D"/>
          <w:sz w:val="20"/>
          <w:szCs w:val="20"/>
        </w:rPr>
        <w:t xml:space="preserve">L’Université </w:t>
      </w:r>
      <w:r>
        <w:rPr>
          <w:rFonts w:ascii="Arial" w:hAnsi="Arial" w:cs="Arial"/>
          <w:color w:val="23282D"/>
          <w:sz w:val="20"/>
          <w:szCs w:val="20"/>
        </w:rPr>
        <w:t>Mohammed Premier</w:t>
      </w:r>
      <w:r>
        <w:rPr>
          <w:rFonts w:ascii="Arial" w:hAnsi="Arial" w:cs="Arial"/>
          <w:color w:val="23282D"/>
          <w:sz w:val="20"/>
          <w:szCs w:val="20"/>
        </w:rPr>
        <w:t xml:space="preserve"> a le plaisir d’annoncer à ses doctorants inscrits en thèse le lancement des inscriptions au concours francophone international </w:t>
      </w:r>
      <w:r w:rsidRPr="004062B3">
        <w:rPr>
          <w:rStyle w:val="Accentuation"/>
          <w:rFonts w:ascii="Arial" w:hAnsi="Arial" w:cs="Arial"/>
          <w:b/>
          <w:bCs/>
          <w:i w:val="0"/>
          <w:iCs w:val="0"/>
          <w:color w:val="FF0000"/>
          <w:sz w:val="20"/>
          <w:szCs w:val="20"/>
        </w:rPr>
        <w:t>Ma Thèse en 180 secondes </w:t>
      </w:r>
      <w:r w:rsidRPr="004062B3">
        <w:rPr>
          <w:rFonts w:ascii="Arial" w:hAnsi="Arial" w:cs="Arial"/>
          <w:b/>
          <w:bCs/>
          <w:i/>
          <w:iCs/>
          <w:color w:val="FF0000"/>
          <w:sz w:val="20"/>
          <w:szCs w:val="20"/>
        </w:rPr>
        <w:t xml:space="preserve">(MT180) – Edition 2021 </w:t>
      </w:r>
      <w:r>
        <w:rPr>
          <w:rFonts w:ascii="Arial" w:hAnsi="Arial" w:cs="Arial"/>
          <w:color w:val="23282D"/>
          <w:sz w:val="20"/>
          <w:szCs w:val="20"/>
        </w:rPr>
        <w:t>et ce, </w:t>
      </w:r>
      <w:r>
        <w:rPr>
          <w:rStyle w:val="lev"/>
          <w:rFonts w:ascii="Arial" w:hAnsi="Arial" w:cs="Arial"/>
          <w:color w:val="23282D"/>
          <w:sz w:val="20"/>
          <w:szCs w:val="20"/>
        </w:rPr>
        <w:t>du 21 décembre 2020 au 07 février 2021</w:t>
      </w:r>
      <w:r>
        <w:rPr>
          <w:rFonts w:ascii="Arial" w:hAnsi="Arial" w:cs="Arial"/>
          <w:color w:val="23282D"/>
          <w:sz w:val="20"/>
          <w:szCs w:val="20"/>
        </w:rPr>
        <w:t>. Les universités participantes sont les 12 universités publiques marocaines en plus de l’Université Mohammed VI Polytechnique et l’Université Internationale de Rabat.</w:t>
      </w:r>
    </w:p>
    <w:p w14:paraId="55E75D0A" w14:textId="77777777" w:rsidR="004062B3" w:rsidRDefault="004062B3" w:rsidP="004062B3">
      <w:pPr>
        <w:pStyle w:val="NormalWeb"/>
        <w:shd w:val="clear" w:color="auto" w:fill="FCFCFC"/>
        <w:spacing w:before="0" w:beforeAutospacing="0" w:after="150" w:afterAutospacing="0"/>
        <w:jc w:val="both"/>
        <w:rPr>
          <w:rFonts w:ascii="Arial" w:hAnsi="Arial" w:cs="Arial"/>
          <w:color w:val="23282D"/>
          <w:sz w:val="20"/>
          <w:szCs w:val="20"/>
        </w:rPr>
      </w:pPr>
      <w:r>
        <w:rPr>
          <w:rFonts w:ascii="Arial" w:hAnsi="Arial" w:cs="Arial"/>
          <w:color w:val="23282D"/>
          <w:sz w:val="20"/>
          <w:szCs w:val="20"/>
        </w:rPr>
        <w:t xml:space="preserve">Les objectifs de l’organisation de ce concours au Maroc sont : </w:t>
      </w:r>
    </w:p>
    <w:p w14:paraId="38B94CA7" w14:textId="77777777" w:rsidR="004062B3" w:rsidRDefault="004062B3" w:rsidP="004062B3">
      <w:pPr>
        <w:pStyle w:val="NormalWeb"/>
        <w:numPr>
          <w:ilvl w:val="0"/>
          <w:numId w:val="1"/>
        </w:numPr>
        <w:shd w:val="clear" w:color="auto" w:fill="FCFCFC"/>
        <w:spacing w:before="0" w:beforeAutospacing="0" w:after="150" w:afterAutospacing="0"/>
        <w:jc w:val="both"/>
        <w:rPr>
          <w:rFonts w:ascii="Arial" w:hAnsi="Arial" w:cs="Arial"/>
          <w:color w:val="23282D"/>
          <w:sz w:val="20"/>
          <w:szCs w:val="20"/>
        </w:rPr>
      </w:pPr>
      <w:r>
        <w:rPr>
          <w:rFonts w:ascii="Arial" w:hAnsi="Arial" w:cs="Arial"/>
          <w:color w:val="23282D"/>
          <w:sz w:val="20"/>
          <w:szCs w:val="20"/>
        </w:rPr>
        <w:t xml:space="preserve">la mise en valeur de la relève scientifique marocaine, </w:t>
      </w:r>
    </w:p>
    <w:p w14:paraId="1F6853AC" w14:textId="77777777" w:rsidR="004062B3" w:rsidRDefault="004062B3" w:rsidP="004062B3">
      <w:pPr>
        <w:pStyle w:val="NormalWeb"/>
        <w:numPr>
          <w:ilvl w:val="0"/>
          <w:numId w:val="1"/>
        </w:numPr>
        <w:shd w:val="clear" w:color="auto" w:fill="FCFCFC"/>
        <w:spacing w:before="0" w:beforeAutospacing="0" w:after="150" w:afterAutospacing="0"/>
        <w:jc w:val="both"/>
        <w:rPr>
          <w:rFonts w:ascii="Arial" w:hAnsi="Arial" w:cs="Arial"/>
          <w:color w:val="23282D"/>
          <w:sz w:val="20"/>
          <w:szCs w:val="20"/>
        </w:rPr>
      </w:pPr>
      <w:r>
        <w:rPr>
          <w:rFonts w:ascii="Arial" w:hAnsi="Arial" w:cs="Arial"/>
          <w:color w:val="23282D"/>
          <w:sz w:val="20"/>
          <w:szCs w:val="20"/>
        </w:rPr>
        <w:t xml:space="preserve">la formation des jeunes chercheurs à la communication et à la médiation des sciences, </w:t>
      </w:r>
    </w:p>
    <w:p w14:paraId="2259BB09" w14:textId="0C7BF69E" w:rsidR="004062B3" w:rsidRDefault="004062B3" w:rsidP="004062B3">
      <w:pPr>
        <w:pStyle w:val="NormalWeb"/>
        <w:numPr>
          <w:ilvl w:val="0"/>
          <w:numId w:val="1"/>
        </w:numPr>
        <w:shd w:val="clear" w:color="auto" w:fill="FCFCFC"/>
        <w:spacing w:before="0" w:beforeAutospacing="0" w:after="150" w:afterAutospacing="0"/>
        <w:jc w:val="both"/>
        <w:rPr>
          <w:rFonts w:ascii="Arial" w:hAnsi="Arial" w:cs="Arial"/>
          <w:color w:val="23282D"/>
          <w:sz w:val="20"/>
          <w:szCs w:val="20"/>
        </w:rPr>
      </w:pPr>
      <w:r>
        <w:rPr>
          <w:rFonts w:ascii="Arial" w:hAnsi="Arial" w:cs="Arial"/>
          <w:color w:val="23282D"/>
          <w:sz w:val="20"/>
          <w:szCs w:val="20"/>
        </w:rPr>
        <w:t>la</w:t>
      </w:r>
      <w:r w:rsidR="00CE193D">
        <w:rPr>
          <w:rFonts w:ascii="Arial" w:hAnsi="Arial" w:cs="Arial"/>
          <w:color w:val="23282D"/>
          <w:sz w:val="20"/>
          <w:szCs w:val="20"/>
        </w:rPr>
        <w:t xml:space="preserve"> </w:t>
      </w:r>
      <w:r>
        <w:rPr>
          <w:rFonts w:ascii="Arial" w:hAnsi="Arial" w:cs="Arial"/>
          <w:color w:val="23282D"/>
          <w:sz w:val="20"/>
          <w:szCs w:val="20"/>
        </w:rPr>
        <w:t>facilitation de l’insertion professionnelle des doctorants et le développement de leurs échanges avec des chercheurs d’autres disciplines et d’autres pays.</w:t>
      </w:r>
    </w:p>
    <w:p w14:paraId="6769070F" w14:textId="77777777" w:rsidR="004062B3" w:rsidRDefault="004062B3" w:rsidP="004062B3">
      <w:pPr>
        <w:pStyle w:val="NormalWeb"/>
        <w:shd w:val="clear" w:color="auto" w:fill="FCFCFC"/>
        <w:spacing w:before="0" w:beforeAutospacing="0" w:after="0" w:afterAutospacing="0"/>
        <w:jc w:val="both"/>
        <w:rPr>
          <w:rFonts w:ascii="Arial" w:hAnsi="Arial" w:cs="Arial"/>
          <w:color w:val="23282D"/>
          <w:sz w:val="20"/>
          <w:szCs w:val="20"/>
        </w:rPr>
      </w:pPr>
      <w:r>
        <w:rPr>
          <w:rFonts w:ascii="Arial" w:hAnsi="Arial" w:cs="Arial"/>
          <w:color w:val="23282D"/>
          <w:sz w:val="20"/>
          <w:szCs w:val="20"/>
        </w:rPr>
        <w:t>Ce concours,</w:t>
      </w:r>
      <w:r>
        <w:rPr>
          <w:rStyle w:val="lev"/>
          <w:rFonts w:ascii="Arial" w:hAnsi="Arial" w:cs="Arial"/>
          <w:color w:val="23282D"/>
          <w:sz w:val="20"/>
          <w:szCs w:val="20"/>
        </w:rPr>
        <w:t> destiné aux doctorants de toutes disciplines confondues</w:t>
      </w:r>
      <w:r>
        <w:rPr>
          <w:rFonts w:ascii="Arial" w:hAnsi="Arial" w:cs="Arial"/>
          <w:color w:val="23282D"/>
          <w:sz w:val="20"/>
          <w:szCs w:val="20"/>
        </w:rPr>
        <w:t> (sciences fondamentales, sciences de l’ingénieur, sciences de la santé, sciences humaines et sociales,etc.),permet à chaque candidat retenu de présenter son travail de thèse </w:t>
      </w:r>
      <w:r>
        <w:rPr>
          <w:rStyle w:val="lev"/>
          <w:rFonts w:ascii="Arial" w:hAnsi="Arial" w:cs="Arial"/>
          <w:color w:val="23282D"/>
          <w:sz w:val="20"/>
          <w:szCs w:val="20"/>
        </w:rPr>
        <w:t>en 3 minutes </w:t>
      </w:r>
      <w:r>
        <w:rPr>
          <w:rFonts w:ascii="Arial" w:hAnsi="Arial" w:cs="Arial"/>
          <w:color w:val="23282D"/>
          <w:sz w:val="20"/>
          <w:szCs w:val="20"/>
        </w:rPr>
        <w:t>devant un auditoire profane et diversifié. Il offre ainsi la possibilité aux participants de </w:t>
      </w:r>
      <w:r>
        <w:rPr>
          <w:rStyle w:val="lev"/>
          <w:rFonts w:ascii="Arial" w:hAnsi="Arial" w:cs="Arial"/>
          <w:color w:val="23282D"/>
          <w:sz w:val="20"/>
          <w:szCs w:val="20"/>
        </w:rPr>
        <w:t>parfaire leurs aptitudes et compétences en communication scientifique</w:t>
      </w:r>
      <w:r>
        <w:rPr>
          <w:rFonts w:ascii="Arial" w:hAnsi="Arial" w:cs="Arial"/>
          <w:color w:val="23282D"/>
          <w:sz w:val="20"/>
          <w:szCs w:val="20"/>
        </w:rPr>
        <w:t> en exigeant d’eux de s’exprimer en termes simples, à travers un exposé clair, concis et convaincant de leurs travaux de recherche.</w:t>
      </w:r>
    </w:p>
    <w:p w14:paraId="4340AC88" w14:textId="77777777" w:rsidR="004062B3" w:rsidRDefault="004062B3" w:rsidP="004062B3">
      <w:pPr>
        <w:pStyle w:val="NormalWeb"/>
        <w:shd w:val="clear" w:color="auto" w:fill="FCFCFC"/>
        <w:spacing w:before="0" w:beforeAutospacing="0" w:after="150" w:afterAutospacing="0"/>
        <w:jc w:val="both"/>
        <w:rPr>
          <w:rFonts w:ascii="Arial" w:hAnsi="Arial" w:cs="Arial"/>
          <w:color w:val="23282D"/>
          <w:sz w:val="20"/>
          <w:szCs w:val="20"/>
        </w:rPr>
      </w:pPr>
      <w:r>
        <w:rPr>
          <w:rFonts w:ascii="Arial" w:hAnsi="Arial" w:cs="Arial"/>
          <w:color w:val="23282D"/>
          <w:sz w:val="20"/>
          <w:szCs w:val="20"/>
        </w:rPr>
        <w:t>A l’instar de six éditions précédentes, chaque université participante organisera son propre concours en mettant en compétition ses doctorants présélectionnés parmi la liste des inscrits. Les deux premiers lauréats de chaque université participeront à la finale nationale du concours qui aura lieu courant juin 2021.</w:t>
      </w:r>
    </w:p>
    <w:p w14:paraId="2327AE55" w14:textId="77777777" w:rsidR="004062B3" w:rsidRDefault="004062B3" w:rsidP="004062B3">
      <w:pPr>
        <w:pStyle w:val="NormalWeb"/>
        <w:shd w:val="clear" w:color="auto" w:fill="FCFCFC"/>
        <w:spacing w:before="0" w:beforeAutospacing="0" w:after="150" w:afterAutospacing="0"/>
        <w:jc w:val="both"/>
        <w:rPr>
          <w:rFonts w:ascii="Arial" w:hAnsi="Arial" w:cs="Arial"/>
          <w:color w:val="23282D"/>
          <w:sz w:val="20"/>
          <w:szCs w:val="20"/>
        </w:rPr>
      </w:pPr>
      <w:r>
        <w:rPr>
          <w:rFonts w:ascii="Arial" w:hAnsi="Arial" w:cs="Arial"/>
          <w:color w:val="23282D"/>
          <w:sz w:val="20"/>
          <w:szCs w:val="20"/>
        </w:rPr>
        <w:t>De même, le lauréat de cette finale nationale sera qualifié pour participer à la finale internationale du concours qui aura lieu courant septembre 2021en France.</w:t>
      </w:r>
    </w:p>
    <w:p w14:paraId="4457ACF3" w14:textId="7A5CE174" w:rsidR="004062B3" w:rsidRDefault="004062B3" w:rsidP="004062B3">
      <w:pPr>
        <w:pStyle w:val="NormalWeb"/>
        <w:shd w:val="clear" w:color="auto" w:fill="FCFCFC"/>
        <w:spacing w:before="0" w:beforeAutospacing="0" w:after="0" w:afterAutospacing="0"/>
        <w:jc w:val="both"/>
        <w:rPr>
          <w:rFonts w:ascii="Arial" w:hAnsi="Arial" w:cs="Arial"/>
          <w:color w:val="23282D"/>
          <w:sz w:val="20"/>
          <w:szCs w:val="20"/>
        </w:rPr>
      </w:pPr>
      <w:r>
        <w:rPr>
          <w:rFonts w:ascii="Arial" w:hAnsi="Arial" w:cs="Arial"/>
          <w:color w:val="23282D"/>
          <w:sz w:val="20"/>
          <w:szCs w:val="20"/>
        </w:rPr>
        <w:t>Les inscriptions des candidats au concours doivent se faire </w:t>
      </w:r>
      <w:r>
        <w:rPr>
          <w:rStyle w:val="lev"/>
          <w:rFonts w:ascii="Arial" w:hAnsi="Arial" w:cs="Arial"/>
          <w:color w:val="23282D"/>
          <w:sz w:val="20"/>
          <w:szCs w:val="20"/>
        </w:rPr>
        <w:t>via le formulaire d’inscription</w:t>
      </w:r>
      <w:r>
        <w:rPr>
          <w:rFonts w:ascii="Arial" w:hAnsi="Arial" w:cs="Arial"/>
          <w:color w:val="23282D"/>
          <w:sz w:val="20"/>
          <w:szCs w:val="20"/>
        </w:rPr>
        <w:t> téléchargeable en dessous. Le formulaire dûment rempli par le candidat et signé conjointement par le Directeur de thèse et Directeur de CEDoc doit être retourné via l’adresse mail indiquée en haut du formulaire.</w:t>
      </w:r>
    </w:p>
    <w:p w14:paraId="7292B759" w14:textId="77777777" w:rsidR="00CB5738" w:rsidRDefault="00CB5738"/>
    <w:sectPr w:rsidR="00CB57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2173CF"/>
    <w:multiLevelType w:val="hybridMultilevel"/>
    <w:tmpl w:val="4D0296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B3"/>
    <w:rsid w:val="002F06F2"/>
    <w:rsid w:val="004062B3"/>
    <w:rsid w:val="00CB5738"/>
    <w:rsid w:val="00CE19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DE05"/>
  <w15:chartTrackingRefBased/>
  <w15:docId w15:val="{F023A5CF-152A-4F0E-A5C5-C61CA8BE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062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062B3"/>
    <w:rPr>
      <w:i/>
      <w:iCs/>
    </w:rPr>
  </w:style>
  <w:style w:type="character" w:styleId="lev">
    <w:name w:val="Strong"/>
    <w:basedOn w:val="Policepardfaut"/>
    <w:uiPriority w:val="22"/>
    <w:qFormat/>
    <w:rsid w:val="004062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02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325</Words>
  <Characters>1793</Characters>
  <Application>Microsoft Office Word</Application>
  <DocSecurity>0</DocSecurity>
  <Lines>14</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WAFAE</dc:creator>
  <cp:keywords/>
  <dc:description/>
  <cp:lastModifiedBy>WAFAE</cp:lastModifiedBy>
  <cp:revision>3</cp:revision>
  <dcterms:created xsi:type="dcterms:W3CDTF">2021-01-10T21:54:00Z</dcterms:created>
  <dcterms:modified xsi:type="dcterms:W3CDTF">2021-01-10T21:59:00Z</dcterms:modified>
</cp:coreProperties>
</file>